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2140501027</w:t>
      </w:r>
      <w:r>
        <w:rPr>
          <w:rFonts w:hint="eastAsia"/>
          <w:b/>
        </w:rPr>
        <w:t xml:space="preserve">   </w:t>
      </w:r>
      <w:bookmarkStart w:id="0" w:name="_GoBack"/>
      <w:bookmarkEnd w:id="0"/>
      <w:r>
        <w:rPr>
          <w:rFonts w:hint="eastAsia"/>
          <w:b/>
        </w:rPr>
        <w:t>姓名：</w:t>
      </w:r>
      <w:r>
        <w:rPr>
          <w:rFonts w:hint="eastAsia"/>
          <w:b/>
          <w:lang w:eastAsia="zh-CN"/>
        </w:rPr>
        <w:t>王博旸</w:t>
      </w:r>
      <w:r>
        <w:rPr>
          <w:rFonts w:hint="eastAsia"/>
          <w:b/>
        </w:rPr>
        <w:t xml:space="preserve">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1.创建之前要了解程序需求，确定数据类型和关系。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2.选择有意义的命名，避免使用无意义或复杂命名方式。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3.选择哈市的字符集和排序。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4.谨慎至用用户权限。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5.创建后确保数据的插入和更新操作正常。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1.要仔细认真避免出错。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2.确保基本内容不出错。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default"/>
                <w:bCs/>
                <w:lang w:val="en-US"/>
              </w:rPr>
            </w:pPr>
            <w:r>
              <w:rPr>
                <w:rFonts w:hint="eastAsia"/>
                <w:bCs/>
                <w:lang w:val="en-US" w:eastAsia="zh-CN"/>
              </w:rPr>
              <w:t>通过本次学习了解了如何用SQL创建表格，在创建MYsql数据库时，要多方面考虑，明确程序要求，帮助构建合理数据库结构，排序时也要注意字符集和排序规则的选择。创建后要进行全面测试和验证，确保数据库操作正常且数据完整一致。需要进行多方面多角度考虑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82B4FC4"/>
    <w:rsid w:val="188C387F"/>
    <w:rsid w:val="1AF414ED"/>
    <w:rsid w:val="1B7B26D2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CA65156"/>
    <w:rsid w:val="3D7C0E1F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F897441"/>
    <w:rsid w:val="4FEB08B0"/>
    <w:rsid w:val="57B723B0"/>
    <w:rsid w:val="597731B4"/>
    <w:rsid w:val="5A584959"/>
    <w:rsid w:val="5B687259"/>
    <w:rsid w:val="5C135CBE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0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2024-09-20T02:15:49Z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